
<file path=[Content_Types].xml><?xml version="1.0" encoding="utf-8"?>
<Types xmlns="http://schemas.openxmlformats.org/package/2006/content-types">
  <Override PartName="/_rels/.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theme/theme1.xml" ContentType="application/vnd.openxmlformats-officedocument.theme+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360" w:type="dxa"/>
        <w:jc w:val="left"/>
        <w:tblInd w:w="34" w:type="dxa"/>
        <w:tblBorders>
          <w:top w:val="single" w:sz="2" w:space="0" w:color="000001"/>
          <w:left w:val="single" w:sz="2" w:space="0" w:color="000001"/>
          <w:bottom w:val="single" w:sz="2" w:space="0" w:color="000001"/>
          <w:insideH w:val="single" w:sz="2" w:space="0" w:color="000001"/>
        </w:tblBorders>
        <w:tblCellMar>
          <w:top w:w="28" w:type="dxa"/>
          <w:left w:w="26" w:type="dxa"/>
          <w:bottom w:w="28" w:type="dxa"/>
          <w:right w:w="0" w:type="dxa"/>
        </w:tblCellMar>
        <w:tblLook w:lastRow="0" w:firstRow="0" w:lastColumn="0" w:firstColumn="0" w:val="0000" w:noHBand="0" w:noVBand="0"/>
      </w:tblPr>
      <w:tblGrid>
        <w:gridCol w:w="1996"/>
        <w:gridCol w:w="7364"/>
      </w:tblGrid>
      <w:tr>
        <w:trPr>
          <w:trHeight w:val="1215" w:hRule="atLeast"/>
        </w:trPr>
        <w:tc>
          <w:tcPr>
            <w:tcW w:w="1996" w:type="dxa"/>
            <w:tcBorders>
              <w:top w:val="single" w:sz="2" w:space="0" w:color="000001"/>
              <w:left w:val="single" w:sz="2" w:space="0" w:color="000001"/>
              <w:bottom w:val="single" w:sz="2" w:space="0" w:color="000001"/>
              <w:insideH w:val="single" w:sz="2" w:space="0" w:color="000001"/>
            </w:tcBorders>
            <w:shd w:color="auto" w:fill="FFFFFF" w:val="clear"/>
          </w:tcPr>
          <w:p>
            <w:pPr>
              <w:pStyle w:val="TableContents"/>
              <w:spacing w:before="0" w:after="283"/>
              <w:jc w:val="center"/>
              <w:rPr/>
            </w:pPr>
            <w:r>
              <w:rPr/>
              <w:drawing>
                <wp:inline distT="0" distB="0" distL="0" distR="0">
                  <wp:extent cx="970280" cy="1141730"/>
                  <wp:effectExtent l="0" t="0" r="0" b="0"/>
                  <wp:docPr id="1"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A description..."/>
                          <pic:cNvPicPr>
                            <a:picLocks noChangeAspect="1" noChangeArrowheads="1"/>
                          </pic:cNvPicPr>
                        </pic:nvPicPr>
                        <pic:blipFill>
                          <a:blip r:embed="rId2"/>
                          <a:stretch>
                            <a:fillRect/>
                          </a:stretch>
                        </pic:blipFill>
                        <pic:spPr bwMode="auto">
                          <a:xfrm>
                            <a:off x="0" y="0"/>
                            <a:ext cx="970280" cy="1141730"/>
                          </a:xfrm>
                          <a:prstGeom prst="rect">
                            <a:avLst/>
                          </a:prstGeom>
                        </pic:spPr>
                      </pic:pic>
                    </a:graphicData>
                  </a:graphic>
                </wp:inline>
              </w:drawing>
            </w:r>
          </w:p>
        </w:tc>
        <w:tc>
          <w:tcPr>
            <w:tcW w:w="7364"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FFFFFF" w:val="clear"/>
            <w:tcMar>
              <w:left w:w="72" w:type="dxa"/>
              <w:right w:w="108" w:type="dxa"/>
            </w:tcMar>
          </w:tcPr>
          <w:p>
            <w:pPr>
              <w:pStyle w:val="TableContents"/>
              <w:spacing w:before="0" w:after="159"/>
              <w:jc w:val="center"/>
              <w:rPr/>
            </w:pPr>
            <w:r>
              <w:rPr/>
            </w:r>
          </w:p>
          <w:p>
            <w:pPr>
              <w:pStyle w:val="TableContents"/>
              <w:spacing w:before="0" w:after="159"/>
              <w:jc w:val="center"/>
              <w:rPr>
                <w:b/>
                <w:b/>
                <w:sz w:val="32"/>
                <w:lang w:val="en-GB"/>
              </w:rPr>
            </w:pPr>
            <w:r>
              <w:rPr>
                <w:b/>
                <w:sz w:val="32"/>
                <w:lang w:val="en-GB"/>
              </w:rPr>
              <w:t>TATA INSTITUTE OF SOCIAL SCIENCES</w:t>
            </w:r>
          </w:p>
          <w:p>
            <w:pPr>
              <w:pStyle w:val="TableContents"/>
              <w:spacing w:before="0" w:after="159"/>
              <w:jc w:val="center"/>
              <w:rPr>
                <w:b/>
                <w:b/>
                <w:sz w:val="28"/>
                <w:lang w:val="en-GB"/>
              </w:rPr>
            </w:pPr>
            <w:r>
              <w:rPr>
                <w:b/>
                <w:sz w:val="28"/>
                <w:lang w:val="en-GB"/>
              </w:rPr>
              <w:t>V.N. Purav Marg, Deonar, Mumbai 400 088</w:t>
            </w:r>
          </w:p>
          <w:p>
            <w:pPr>
              <w:pStyle w:val="TableContents"/>
              <w:spacing w:before="0" w:after="283"/>
              <w:jc w:val="center"/>
              <w:rPr>
                <w:lang w:val="en-GB"/>
              </w:rPr>
            </w:pPr>
            <w:r>
              <w:rPr>
                <w:lang w:val="en-GB"/>
              </w:rPr>
              <w:t>(A Deemed University under Section 3 of the UGC Act, 1956)</w:t>
            </w:r>
          </w:p>
        </w:tc>
      </w:tr>
    </w:tbl>
    <w:p>
      <w:pPr>
        <w:pStyle w:val="Normal"/>
        <w:rPr/>
      </w:pPr>
      <w:r>
        <w:rPr/>
      </w:r>
    </w:p>
    <w:p>
      <w:pPr>
        <w:pStyle w:val="TextBody"/>
        <w:spacing w:lineRule="atLeast" w:line="249" w:before="0" w:after="159"/>
        <w:jc w:val="center"/>
        <w:rPr/>
      </w:pPr>
      <w:r>
        <w:rPr>
          <w:rFonts w:ascii="Liberation Serif;serif" w:hAnsi="Liberation Serif;serif"/>
          <w:b/>
          <w:lang w:val="en-GB"/>
        </w:rPr>
        <w:t>TISS/ADVT/EPGDHRM/ MAY2019</w:t>
        <w:tab/>
        <w:tab/>
        <w:t>May 7, 2019</w:t>
      </w:r>
    </w:p>
    <w:p>
      <w:pPr>
        <w:pStyle w:val="TextBody"/>
        <w:spacing w:lineRule="atLeast" w:line="198" w:before="0" w:after="159"/>
        <w:jc w:val="center"/>
        <w:rPr>
          <w:rFonts w:ascii="Liberation Serif;serif" w:hAnsi="Liberation Serif;serif"/>
          <w:b/>
          <w:b/>
          <w:lang w:val="en-GB"/>
        </w:rPr>
      </w:pPr>
      <w:bookmarkStart w:id="0" w:name="m_-3746780385094710918___DdeLink__909_13"/>
      <w:bookmarkEnd w:id="0"/>
      <w:r>
        <w:rPr>
          <w:rFonts w:ascii="Liberation Serif;serif" w:hAnsi="Liberation Serif;serif"/>
          <w:b/>
          <w:lang w:val="en-GB"/>
        </w:rPr>
        <w:t>Non Teaching position for Centre for Human Resouces and Labour Relations , School of Management and Labour Studies</w:t>
      </w:r>
    </w:p>
    <w:p>
      <w:pPr>
        <w:pStyle w:val="TextBody"/>
        <w:spacing w:lineRule="atLeast" w:line="198" w:before="0" w:after="159"/>
        <w:jc w:val="center"/>
        <w:rPr>
          <w:rFonts w:ascii="Liberation Serif;serif" w:hAnsi="Liberation Serif;serif"/>
          <w:b/>
          <w:b/>
          <w:lang w:val="en-GB"/>
        </w:rPr>
      </w:pPr>
      <w:r>
        <w:rPr>
          <w:rFonts w:ascii="Liberation Serif;serif" w:hAnsi="Liberation Serif;serif"/>
          <w:b/>
          <w:lang w:val="en-GB"/>
        </w:rPr>
        <w:t xml:space="preserve"> </w:t>
      </w:r>
      <w:r>
        <w:rPr>
          <w:rFonts w:ascii="Liberation Serif;serif" w:hAnsi="Liberation Serif;serif"/>
          <w:b/>
          <w:lang w:val="en-GB"/>
        </w:rPr>
        <w:tab/>
      </w:r>
    </w:p>
    <w:p>
      <w:pPr>
        <w:pStyle w:val="TextBody"/>
        <w:spacing w:lineRule="atLeast" w:line="249" w:before="0" w:after="159"/>
        <w:jc w:val="both"/>
        <w:rPr>
          <w:rFonts w:ascii="Liberation Serif;serif" w:hAnsi="Liberation Serif;serif"/>
          <w:color w:val="000000"/>
          <w:lang w:val="en-GB"/>
        </w:rPr>
      </w:pPr>
      <w:r>
        <w:rPr>
          <w:rFonts w:ascii="Liberation Serif;serif" w:hAnsi="Liberation Serif;serif"/>
          <w:color w:val="000000"/>
          <w:lang w:val="en-GB"/>
        </w:rPr>
        <w:t>The Tata Institute of Social Sciences (TISS) which was established in 1936 is a Deemed University fully funded by the University Grant Commission (UGC), Government of India. The TISS offers 53 Master Degree Programmes in a range of Socially relevant inter-disciplinary of Social Work, Social Sciences, Health, Management, Labour Studies, Habitat Studies and Rural Development from its Mumbai, Tuljapur, Guwahati and Hyderabad Campuses. It has a strong M.Phil/Ph.D programme a high degree of freedom and autonomy shape the positive work ethos and creativity in the Institute. The TISS offers a very challenging but fulfilling academic environment and opportunities to scholars committed to creating a just society through education, generation of knowledge and field action.</w:t>
      </w:r>
    </w:p>
    <w:p>
      <w:pPr>
        <w:pStyle w:val="TextBody"/>
        <w:spacing w:lineRule="atLeast" w:line="249" w:before="0" w:after="159"/>
        <w:jc w:val="both"/>
        <w:rPr>
          <w:rFonts w:ascii="Liberation Serif;serif" w:hAnsi="Liberation Serif;serif"/>
          <w:lang w:val="en-GB"/>
        </w:rPr>
      </w:pPr>
      <w:r>
        <w:rPr>
          <w:rFonts w:ascii="Liberation Serif;serif" w:hAnsi="Liberation Serif;serif"/>
          <w:lang w:val="en-GB"/>
        </w:rPr>
        <w:t>The School of Management and Labour Studies has 5 Centres in (I) Human Resources Management and Labour Relations; (ii) Social and Organisational Leadership; (iii) Labour Studies; (iv) Social Entrepreneurship; and (v) Public Policy and Governance .</w:t>
      </w:r>
    </w:p>
    <w:p>
      <w:pPr>
        <w:pStyle w:val="TextBody"/>
        <w:spacing w:lineRule="atLeast" w:line="249" w:before="0" w:after="159"/>
        <w:jc w:val="both"/>
        <w:rPr>
          <w:rFonts w:ascii="Liberation Serif;serif" w:hAnsi="Liberation Serif;serif"/>
          <w:color w:val="000000"/>
          <w:highlight w:val="white"/>
          <w:lang w:val="en-GB"/>
        </w:rPr>
      </w:pPr>
      <w:r>
        <w:rPr>
          <w:rFonts w:ascii="Liberation Serif;serif" w:hAnsi="Liberation Serif;serif"/>
          <w:shd w:fill="FFFFFF" w:val="clear"/>
          <w:lang w:val="en-GB"/>
        </w:rPr>
        <w:t xml:space="preserve">The Centre for </w:t>
      </w:r>
      <w:r>
        <w:rPr>
          <w:rFonts w:ascii="Liberation Serif;serif" w:hAnsi="Liberation Serif;serif"/>
          <w:lang w:val="en-GB"/>
        </w:rPr>
        <w:t>Human Resources Management and Labour Relations</w:t>
      </w:r>
      <w:r>
        <w:rPr>
          <w:rFonts w:ascii="Liberation Serif;serif" w:hAnsi="Liberation Serif;serif"/>
          <w:shd w:fill="FFFFFF" w:val="clear"/>
          <w:lang w:val="en-GB"/>
        </w:rPr>
        <w:t xml:space="preserve"> i</w:t>
      </w:r>
      <w:r>
        <w:rPr>
          <w:rFonts w:ascii="Liberation Serif;serif" w:hAnsi="Liberation Serif;serif"/>
          <w:color w:val="000000"/>
          <w:shd w:fill="FFFFFF" w:val="clear"/>
          <w:lang w:val="en-GB"/>
        </w:rPr>
        <w:t>nvites interested candidates to apply for  the position to be filled on contract for a period of one year initially and to be extended based on performance of the candidate and requirement of the institute.</w:t>
      </w:r>
    </w:p>
    <w:p>
      <w:pPr>
        <w:pStyle w:val="Normal"/>
        <w:spacing w:lineRule="auto" w:line="240" w:before="0" w:after="0"/>
        <w:rPr/>
      </w:pPr>
      <w:r>
        <w:rPr/>
      </w:r>
    </w:p>
    <w:p>
      <w:pPr>
        <w:pStyle w:val="Normal"/>
        <w:spacing w:lineRule="auto" w:line="240" w:before="0" w:after="0"/>
        <w:rPr>
          <w:rFonts w:ascii="Times New Roman" w:hAnsi="Times New Roman" w:cs="Times New Roman"/>
          <w:b/>
          <w:b/>
          <w:bCs/>
          <w:color w:val="000000"/>
          <w:sz w:val="24"/>
          <w:szCs w:val="24"/>
        </w:rPr>
      </w:pPr>
      <w:r>
        <w:rPr>
          <w:rFonts w:cs="Times New Roman" w:ascii="Times New Roman" w:hAnsi="Times New Roman"/>
          <w:b/>
          <w:bCs/>
          <w:color w:val="000000"/>
          <w:sz w:val="24"/>
          <w:szCs w:val="24"/>
        </w:rPr>
        <w:t>Programme Manager for Executive Postgraduate Diploma in Human Resources Management (EPGDHRM)  (one post)</w:t>
      </w:r>
    </w:p>
    <w:p>
      <w:pPr>
        <w:pStyle w:val="Normal"/>
        <w:spacing w:lineRule="auto" w:line="240" w:before="0" w:after="0"/>
        <w:rPr>
          <w:rFonts w:ascii="Times New Roman" w:hAnsi="Times New Roman" w:cs="Times New Roman"/>
          <w:b/>
          <w:b/>
          <w:bCs/>
          <w:color w:val="000000"/>
          <w:sz w:val="24"/>
          <w:szCs w:val="24"/>
        </w:rPr>
      </w:pPr>
      <w:r>
        <w:rPr>
          <w:rFonts w:cs="Times New Roman" w:ascii="Times New Roman" w:hAnsi="Times New Roman"/>
          <w:b/>
          <w:bCs/>
          <w:color w:val="000000"/>
          <w:sz w:val="24"/>
          <w:szCs w:val="24"/>
        </w:rPr>
      </w:r>
    </w:p>
    <w:p>
      <w:pPr>
        <w:pStyle w:val="Normal"/>
        <w:spacing w:lineRule="auto" w:line="240" w:before="0" w:after="0"/>
        <w:rPr>
          <w:rFonts w:ascii="Times New Roman" w:hAnsi="Times New Roman" w:cs="Times New Roman"/>
          <w:color w:val="00000A"/>
          <w:sz w:val="24"/>
          <w:szCs w:val="24"/>
        </w:rPr>
      </w:pPr>
      <w:r>
        <w:rPr>
          <w:rFonts w:cs="Times New Roman" w:ascii="Times New Roman" w:hAnsi="Times New Roman"/>
          <w:b/>
          <w:bCs/>
          <w:color w:val="00000A"/>
          <w:sz w:val="24"/>
          <w:szCs w:val="24"/>
        </w:rPr>
        <w:t xml:space="preserve">Monthly remuneration: </w:t>
      </w:r>
      <w:r>
        <w:rPr>
          <w:rFonts w:cs="Times New Roman" w:ascii="Times New Roman" w:hAnsi="Times New Roman"/>
          <w:color w:val="00000A"/>
          <w:sz w:val="24"/>
          <w:szCs w:val="24"/>
        </w:rPr>
        <w:t>Rs. 50,000/-</w:t>
      </w:r>
    </w:p>
    <w:p>
      <w:pPr>
        <w:pStyle w:val="Normal"/>
        <w:tabs>
          <w:tab w:val="left" w:pos="3525" w:leader="none"/>
        </w:tabs>
        <w:spacing w:lineRule="auto" w:line="240" w:before="0" w:after="0"/>
        <w:jc w:val="both"/>
        <w:rPr>
          <w:rFonts w:ascii="Times New Roman" w:hAnsi="Times New Roman" w:cs="Times New Roman"/>
          <w:color w:val="00000A"/>
          <w:sz w:val="24"/>
          <w:szCs w:val="24"/>
        </w:rPr>
      </w:pPr>
      <w:r>
        <w:rPr>
          <w:rFonts w:cs="Times New Roman" w:ascii="Times New Roman" w:hAnsi="Times New Roman"/>
          <w:color w:val="00000A"/>
          <w:sz w:val="24"/>
          <w:szCs w:val="24"/>
        </w:rPr>
        <w:tab/>
      </w:r>
    </w:p>
    <w:p>
      <w:pPr>
        <w:pStyle w:val="Normal"/>
        <w:spacing w:lineRule="auto" w:line="240" w:before="0" w:after="0"/>
        <w:jc w:val="both"/>
        <w:rPr>
          <w:rFonts w:ascii="Times New Roman" w:hAnsi="Times New Roman" w:cs="Times New Roman"/>
          <w:color w:val="00000A"/>
          <w:sz w:val="24"/>
          <w:szCs w:val="24"/>
        </w:rPr>
      </w:pPr>
      <w:r>
        <w:rPr>
          <w:rFonts w:cs="Times New Roman" w:ascii="Times New Roman" w:hAnsi="Times New Roman"/>
          <w:b/>
          <w:bCs/>
          <w:color w:val="000000"/>
          <w:sz w:val="24"/>
          <w:szCs w:val="24"/>
        </w:rPr>
        <w:t xml:space="preserve">Qualification </w:t>
      </w:r>
      <w:r>
        <w:rPr>
          <w:rFonts w:cs="Times New Roman,Bold" w:ascii="Times New Roman,Bold" w:hAnsi="Times New Roman,Bold"/>
          <w:b/>
          <w:bCs/>
          <w:color w:val="000000"/>
          <w:sz w:val="24"/>
          <w:szCs w:val="24"/>
        </w:rPr>
        <w:t xml:space="preserve">– </w:t>
      </w:r>
      <w:r>
        <w:rPr>
          <w:rFonts w:cs="Times New Roman" w:ascii="Times New Roman" w:hAnsi="Times New Roman"/>
          <w:color w:val="00000A"/>
          <w:sz w:val="24"/>
          <w:szCs w:val="24"/>
        </w:rPr>
        <w:t>Good academic record with at least 55 % of the marks or an equivalent grade</w:t>
      </w:r>
    </w:p>
    <w:p>
      <w:pPr>
        <w:pStyle w:val="Normal"/>
        <w:spacing w:lineRule="auto" w:line="240" w:before="0" w:after="0"/>
        <w:jc w:val="both"/>
        <w:rPr>
          <w:rFonts w:ascii="Times New Roman" w:hAnsi="Times New Roman" w:cs="Times New Roman"/>
          <w:color w:val="00000A"/>
          <w:sz w:val="24"/>
          <w:szCs w:val="24"/>
        </w:rPr>
      </w:pPr>
      <w:r>
        <w:rPr>
          <w:rFonts w:cs="Times New Roman" w:ascii="Times New Roman" w:hAnsi="Times New Roman"/>
          <w:color w:val="00000A"/>
          <w:sz w:val="24"/>
          <w:szCs w:val="24"/>
        </w:rPr>
        <w:t>in a point scale wherever grading system is followed at the Master’s Degree in Social</w:t>
      </w:r>
    </w:p>
    <w:p>
      <w:pPr>
        <w:pStyle w:val="Normal"/>
        <w:spacing w:lineRule="auto" w:line="240" w:before="0" w:after="0"/>
        <w:jc w:val="both"/>
        <w:rPr>
          <w:rFonts w:ascii="Times New Roman" w:hAnsi="Times New Roman" w:cs="Times New Roman"/>
          <w:color w:val="00000A"/>
          <w:sz w:val="24"/>
          <w:szCs w:val="24"/>
        </w:rPr>
      </w:pPr>
      <w:r>
        <w:rPr>
          <w:rFonts w:cs="Times New Roman" w:ascii="Times New Roman" w:hAnsi="Times New Roman"/>
          <w:color w:val="00000A"/>
          <w:sz w:val="24"/>
          <w:szCs w:val="24"/>
        </w:rPr>
        <w:t xml:space="preserve">Sciences / Management (or equivalent). The candidate must have minimum 3 years of </w:t>
      </w:r>
    </w:p>
    <w:p>
      <w:pPr>
        <w:pStyle w:val="Normal"/>
        <w:spacing w:lineRule="auto" w:line="240" w:before="0" w:after="0"/>
        <w:jc w:val="both"/>
        <w:rPr>
          <w:rFonts w:ascii="Times New Roman" w:hAnsi="Times New Roman" w:cs="Times New Roman"/>
          <w:color w:val="00000A"/>
          <w:sz w:val="24"/>
          <w:szCs w:val="24"/>
        </w:rPr>
      </w:pPr>
      <w:r>
        <w:rPr>
          <w:rFonts w:cs="Times New Roman" w:ascii="Times New Roman" w:hAnsi="Times New Roman"/>
          <w:color w:val="00000A"/>
          <w:sz w:val="24"/>
          <w:szCs w:val="24"/>
        </w:rPr>
        <w:t xml:space="preserve">work experience in the relevant field.  </w:t>
      </w:r>
    </w:p>
    <w:p>
      <w:pPr>
        <w:pStyle w:val="Normal"/>
        <w:spacing w:lineRule="auto" w:line="240" w:before="0" w:after="0"/>
        <w:rPr>
          <w:rFonts w:ascii="Times New Roman" w:hAnsi="Times New Roman" w:cs="Times New Roman"/>
          <w:b/>
          <w:b/>
          <w:bCs/>
          <w:color w:val="000000"/>
          <w:sz w:val="24"/>
          <w:szCs w:val="24"/>
        </w:rPr>
      </w:pPr>
      <w:r>
        <w:rPr>
          <w:rFonts w:cs="Times New Roman" w:ascii="Times New Roman" w:hAnsi="Times New Roman"/>
          <w:b/>
          <w:bCs/>
          <w:color w:val="000000"/>
          <w:sz w:val="24"/>
          <w:szCs w:val="24"/>
        </w:rPr>
      </w:r>
    </w:p>
    <w:p>
      <w:pPr>
        <w:pStyle w:val="Normal"/>
        <w:spacing w:lineRule="auto" w:line="240" w:before="0" w:after="0"/>
        <w:rPr>
          <w:rFonts w:ascii="Times New Roman" w:hAnsi="Times New Roman" w:cs="Times New Roman"/>
          <w:b/>
          <w:b/>
          <w:bCs/>
          <w:color w:val="000000"/>
          <w:sz w:val="24"/>
          <w:szCs w:val="24"/>
        </w:rPr>
      </w:pPr>
      <w:r>
        <w:rPr>
          <w:rFonts w:cs="Times New Roman" w:ascii="Times New Roman" w:hAnsi="Times New Roman"/>
          <w:b/>
          <w:bCs/>
          <w:color w:val="000000"/>
          <w:sz w:val="24"/>
          <w:szCs w:val="24"/>
        </w:rPr>
      </w:r>
    </w:p>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TextBody"/>
        <w:spacing w:lineRule="auto" w:line="240" w:before="0" w:after="198"/>
        <w:jc w:val="both"/>
        <w:rPr>
          <w:rFonts w:ascii="Liberation Serif;serif" w:hAnsi="Liberation Serif;serif"/>
          <w:b/>
          <w:b/>
          <w:color w:val="000000"/>
          <w:lang w:val="en-GB"/>
        </w:rPr>
      </w:pPr>
      <w:r>
        <w:rPr>
          <w:rFonts w:ascii="Liberation Serif;serif" w:hAnsi="Liberation Serif;serif"/>
          <w:b/>
          <w:color w:val="000000"/>
          <w:shd w:fill="FFFFFF" w:val="clear"/>
          <w:lang w:val="en-GB"/>
        </w:rPr>
        <w:t>K</w:t>
      </w:r>
      <w:r>
        <w:rPr>
          <w:rFonts w:ascii="Liberation Serif;serif" w:hAnsi="Liberation Serif;serif"/>
          <w:b/>
          <w:color w:val="000000"/>
          <w:lang w:val="en-GB"/>
        </w:rPr>
        <w:t>ey Roles and responsibility:</w:t>
      </w:r>
    </w:p>
    <w:p>
      <w:pPr>
        <w:pStyle w:val="TextBody"/>
        <w:numPr>
          <w:ilvl w:val="0"/>
          <w:numId w:val="1"/>
        </w:numPr>
        <w:tabs>
          <w:tab w:val="left" w:pos="0" w:leader="none"/>
        </w:tabs>
        <w:spacing w:lineRule="auto" w:line="240" w:before="0" w:after="198"/>
        <w:jc w:val="both"/>
        <w:rPr>
          <w:rFonts w:ascii="Liberation Serif;serif" w:hAnsi="Liberation Serif;serif"/>
          <w:lang w:val="en-GB"/>
        </w:rPr>
      </w:pPr>
      <w:r>
        <w:rPr>
          <w:rFonts w:ascii="Liberation Serif;serif" w:hAnsi="Liberation Serif;serif"/>
          <w:lang w:val="en-GB"/>
        </w:rPr>
        <w:t xml:space="preserve">Management of smooth running of the Executive Postgraduate Diploma in Human Resources Management Programme by co-ordinating with the participants, faculty, staff and administration for </w:t>
      </w:r>
      <w:r>
        <w:rPr>
          <w:rFonts w:cs="Times New Roman" w:ascii="Times New Roman" w:hAnsi="Times New Roman"/>
        </w:rPr>
        <w:t>ensuring the smooth delivery of a coherent and enriching curriculum so as to create an enhanced learning environment for the participants and also for the facilitators</w:t>
      </w:r>
    </w:p>
    <w:p>
      <w:pPr>
        <w:pStyle w:val="TextBody"/>
        <w:numPr>
          <w:ilvl w:val="0"/>
          <w:numId w:val="1"/>
        </w:numPr>
        <w:tabs>
          <w:tab w:val="left" w:pos="0" w:leader="none"/>
        </w:tabs>
        <w:spacing w:lineRule="auto" w:line="240" w:before="0" w:after="198"/>
        <w:jc w:val="both"/>
        <w:rPr>
          <w:rFonts w:ascii="Liberation Serif;serif" w:hAnsi="Liberation Serif;serif"/>
          <w:lang w:val="en-GB"/>
        </w:rPr>
      </w:pPr>
      <w:r>
        <w:rPr>
          <w:rFonts w:ascii="Liberation Serif;serif" w:hAnsi="Liberation Serif;serif"/>
          <w:lang w:val="en-GB"/>
        </w:rPr>
        <w:t xml:space="preserve">Coordination with and assisting the faculty for delivery of the course </w:t>
      </w:r>
      <w:r>
        <w:rPr>
          <w:rFonts w:cs="Times New Roman" w:ascii="Times New Roman" w:hAnsi="Times New Roman"/>
          <w:color w:val="000000"/>
        </w:rPr>
        <w:t>to ensure the smooth execution of the planned activities of the teams and being the centre point of communication and trouble-shooter.</w:t>
      </w:r>
    </w:p>
    <w:p>
      <w:pPr>
        <w:pStyle w:val="TextBody"/>
        <w:numPr>
          <w:ilvl w:val="0"/>
          <w:numId w:val="1"/>
        </w:numPr>
        <w:tabs>
          <w:tab w:val="left" w:pos="0" w:leader="none"/>
        </w:tabs>
        <w:spacing w:lineRule="auto" w:line="240" w:before="0" w:after="198"/>
        <w:jc w:val="both"/>
        <w:rPr>
          <w:rFonts w:ascii="Liberation Serif;serif" w:hAnsi="Liberation Serif;serif"/>
          <w:lang w:val="en-GB"/>
        </w:rPr>
      </w:pPr>
      <w:r>
        <w:rPr>
          <w:rFonts w:ascii="Liberation Serif;serif" w:hAnsi="Liberation Serif;serif"/>
          <w:lang w:val="en-GB"/>
        </w:rPr>
        <w:t>Coordination with various departments within the institute for various administrative and academic aspects of the program.</w:t>
      </w:r>
    </w:p>
    <w:p>
      <w:pPr>
        <w:pStyle w:val="TextBody"/>
        <w:numPr>
          <w:ilvl w:val="0"/>
          <w:numId w:val="1"/>
        </w:numPr>
        <w:tabs>
          <w:tab w:val="left" w:pos="0" w:leader="none"/>
        </w:tabs>
        <w:spacing w:lineRule="auto" w:line="240" w:before="0" w:after="198"/>
        <w:jc w:val="both"/>
        <w:rPr>
          <w:rFonts w:ascii="Liberation Serif;serif" w:hAnsi="Liberation Serif;serif"/>
          <w:lang w:val="en-GB"/>
        </w:rPr>
      </w:pPr>
      <w:r>
        <w:rPr>
          <w:rFonts w:ascii="Liberation Serif;serif" w:hAnsi="Liberation Serif;serif"/>
          <w:lang w:val="en-GB"/>
        </w:rPr>
        <w:t>Promotion of the programme and coordination of the admission procedures. Coordination with the marketing and operation teams for widening the reach of the course.</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b/>
          <w:sz w:val="24"/>
          <w:szCs w:val="24"/>
        </w:rPr>
        <w:t>Application fee:</w:t>
      </w:r>
      <w:r>
        <w:rPr>
          <w:rFonts w:cs="Times New Roman" w:ascii="Times New Roman" w:hAnsi="Times New Roman"/>
          <w:sz w:val="24"/>
          <w:szCs w:val="24"/>
        </w:rPr>
        <w:t xml:space="preserve"> The application fee of Rs. 500/- be paid on-line. The SC/ST/PWD candidates</w:t>
      </w:r>
      <w:bookmarkStart w:id="1" w:name="_GoBack"/>
      <w:bookmarkEnd w:id="1"/>
      <w:r>
        <w:rPr>
          <w:rFonts w:cs="Times New Roman" w:ascii="Times New Roman" w:hAnsi="Times New Roman"/>
          <w:sz w:val="24"/>
          <w:szCs w:val="24"/>
        </w:rPr>
        <w:t xml:space="preserve"> will be waived from the application fee if they attach the required certificate to the online application form. The application will be valid only on receipt of the application fee for those who are required to pay. Fees once paid shall not be refunded under any circumstances.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Other Conditions: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1. The institute reserves the right to invite persons for interview who may not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have applied for as per the above procedure and not fill up the vacancy advertised.</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2. Since applications received may be short listed, merely possessing the prescribed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qualifications and the requisite experience would not entitle a person to be called for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interview; Only shortlisted candidate will be call for interview;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3. No queries or correspondence regarding issue of call letters for interview/selection of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candidates for  the post will be entertained at any stage and canvassing will lead to the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candidate being debarred  from consideration for the post;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4. No TA/DA is payable for appearing in the interview.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5. In case of any inadvertent error in the advertisement and in the process of recruitment, which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may be detected at any stage, even after issue of appointment order, the Institute reserves the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right to  modify/withdraw/cancel any communication made to the candidate(s)</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6. The candidates are requested to apply online through the link (Apply now) provided along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with this advertisement on Institute's website www.tiss.edu.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7. The candidates are required to take a print of  acknowledgement of online application and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keep it for future reference.</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8. The candidates have to bring their original certificates of their educational qualifications and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work experience for verification while appearing for the Test/interview or before joining the      post, if selected.</w:t>
      </w:r>
    </w:p>
    <w:p>
      <w:pPr>
        <w:pStyle w:val="Normal"/>
        <w:spacing w:lineRule="auto" w:line="240" w:before="0" w:after="0"/>
        <w:jc w:val="both"/>
        <w:rPr/>
      </w:pPr>
      <w:r>
        <w:rPr/>
      </w:r>
    </w:p>
    <w:p>
      <w:pPr>
        <w:pStyle w:val="Normal"/>
        <w:spacing w:lineRule="auto" w:line="240" w:before="0" w:after="0"/>
        <w:jc w:val="both"/>
        <w:rPr/>
      </w:pPr>
      <w:r>
        <w:rPr>
          <w:b/>
        </w:rPr>
        <w:t xml:space="preserve"> </w:t>
      </w:r>
      <w:r>
        <w:rPr>
          <w:b/>
        </w:rPr>
        <w:t>Important Dates:</w:t>
      </w:r>
      <w:r>
        <w:rPr/>
        <w:t xml:space="preserve"> </w:t>
      </w:r>
    </w:p>
    <w:p>
      <w:pPr>
        <w:pStyle w:val="Normal"/>
        <w:spacing w:lineRule="auto" w:line="240" w:before="0" w:after="0"/>
        <w:jc w:val="both"/>
        <w:rPr/>
      </w:pPr>
      <w:r>
        <w:rPr/>
        <w:t xml:space="preserve">Last  date of Receipt of on line Application: </w:t>
      </w:r>
      <w:r>
        <w:rPr>
          <w:b/>
        </w:rPr>
        <w:t>June 15, , 2019.</w:t>
      </w:r>
      <w:r>
        <w:rPr/>
        <w:t xml:space="preserve"> </w:t>
      </w:r>
    </w:p>
    <w:p>
      <w:pPr>
        <w:pStyle w:val="Normal"/>
        <w:spacing w:lineRule="auto" w:line="240" w:before="0" w:after="0"/>
        <w:jc w:val="both"/>
        <w:rPr/>
      </w:pPr>
      <w:r>
        <w:rPr/>
        <w:t xml:space="preserve">Short-listed candidates will be called for interview with in a week. </w:t>
      </w:r>
    </w:p>
    <w:p>
      <w:pPr>
        <w:pStyle w:val="Normal"/>
        <w:spacing w:lineRule="auto" w:line="240" w:before="0" w:after="0"/>
        <w:jc w:val="both"/>
        <w:rPr/>
      </w:pPr>
      <w:r>
        <w:rPr/>
        <w:t xml:space="preserve">Selected Candidates are expected to join within 10 days of their selection. </w:t>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t xml:space="preserve">                                                                                                                                                      </w:t>
      </w:r>
      <w:r>
        <w:rPr>
          <w:b/>
        </w:rPr>
        <w:t xml:space="preserve">     </w:t>
      </w:r>
      <w:r>
        <w:rPr>
          <w:b/>
        </w:rPr>
        <w:t>Dy. Registrar (P&amp;A)</w:t>
      </w:r>
    </w:p>
    <w:sectPr>
      <w:type w:val="nextPage"/>
      <w:pgSz w:w="12240" w:h="15840"/>
      <w:pgMar w:left="1440" w:right="1440" w:header="0"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roman"/>
    <w:pitch w:val="variable"/>
  </w:font>
  <w:font w:name="Times New Roman">
    <w:charset w:val="01"/>
    <w:family w:val="roman"/>
    <w:pitch w:val="variable"/>
  </w:font>
  <w:font w:name="Times New Roman">
    <w:altName w:val="Bold"/>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07"/>
        </w:tabs>
        <w:ind w:left="707" w:hanging="283"/>
      </w:pPr>
      <w:rPr>
        <w:rFonts w:ascii="Symbol" w:hAnsi="Symbol" w:cs="Symbol" w:hint="default"/>
        <w:sz w:val="24"/>
        <w:b w:val="false"/>
        <w:rFonts w:cs="Symbol"/>
      </w:rPr>
    </w:lvl>
    <w:lvl w:ilvl="1">
      <w:start w:val="1"/>
      <w:numFmt w:val="bullet"/>
      <w:lvlText w:val=""/>
      <w:lvlJc w:val="left"/>
      <w:pPr>
        <w:tabs>
          <w:tab w:val="num" w:pos="1414"/>
        </w:tabs>
        <w:ind w:left="1414" w:hanging="283"/>
      </w:pPr>
      <w:rPr>
        <w:rFonts w:ascii="Symbol" w:hAnsi="Symbol" w:cs="Symbol" w:hint="default"/>
        <w:rFonts w:cs="Symbol"/>
      </w:rPr>
    </w:lvl>
    <w:lvl w:ilvl="2">
      <w:start w:val="1"/>
      <w:numFmt w:val="bullet"/>
      <w:lvlText w:val=""/>
      <w:lvlJc w:val="left"/>
      <w:pPr>
        <w:tabs>
          <w:tab w:val="num" w:pos="2121"/>
        </w:tabs>
        <w:ind w:left="2121" w:hanging="283"/>
      </w:pPr>
      <w:rPr>
        <w:rFonts w:ascii="Symbol" w:hAnsi="Symbol" w:cs="Symbol" w:hint="default"/>
        <w:rFonts w:cs="Symbol"/>
      </w:rPr>
    </w:lvl>
    <w:lvl w:ilvl="3">
      <w:start w:val="1"/>
      <w:numFmt w:val="bullet"/>
      <w:lvlText w:val=""/>
      <w:lvlJc w:val="left"/>
      <w:pPr>
        <w:tabs>
          <w:tab w:val="num" w:pos="2828"/>
        </w:tabs>
        <w:ind w:left="2828" w:hanging="283"/>
      </w:pPr>
      <w:rPr>
        <w:rFonts w:ascii="Symbol" w:hAnsi="Symbol" w:cs="Symbol" w:hint="default"/>
        <w:rFonts w:cs="Symbol"/>
      </w:rPr>
    </w:lvl>
    <w:lvl w:ilvl="4">
      <w:start w:val="1"/>
      <w:numFmt w:val="bullet"/>
      <w:lvlText w:val=""/>
      <w:lvlJc w:val="left"/>
      <w:pPr>
        <w:tabs>
          <w:tab w:val="num" w:pos="3535"/>
        </w:tabs>
        <w:ind w:left="3535" w:hanging="283"/>
      </w:pPr>
      <w:rPr>
        <w:rFonts w:ascii="Symbol" w:hAnsi="Symbol" w:cs="Symbol" w:hint="default"/>
        <w:rFonts w:cs="Symbol"/>
      </w:rPr>
    </w:lvl>
    <w:lvl w:ilvl="5">
      <w:start w:val="1"/>
      <w:numFmt w:val="bullet"/>
      <w:lvlText w:val=""/>
      <w:lvlJc w:val="left"/>
      <w:pPr>
        <w:tabs>
          <w:tab w:val="num" w:pos="4242"/>
        </w:tabs>
        <w:ind w:left="4242" w:hanging="283"/>
      </w:pPr>
      <w:rPr>
        <w:rFonts w:ascii="Symbol" w:hAnsi="Symbol" w:cs="Symbol" w:hint="default"/>
        <w:rFonts w:cs="Symbol"/>
      </w:rPr>
    </w:lvl>
    <w:lvl w:ilvl="6">
      <w:start w:val="1"/>
      <w:numFmt w:val="bullet"/>
      <w:lvlText w:val=""/>
      <w:lvlJc w:val="left"/>
      <w:pPr>
        <w:tabs>
          <w:tab w:val="num" w:pos="4949"/>
        </w:tabs>
        <w:ind w:left="4949" w:hanging="283"/>
      </w:pPr>
      <w:rPr>
        <w:rFonts w:ascii="Symbol" w:hAnsi="Symbol" w:cs="Symbol" w:hint="default"/>
        <w:rFonts w:cs="Symbol"/>
      </w:rPr>
    </w:lvl>
    <w:lvl w:ilvl="7">
      <w:start w:val="1"/>
      <w:numFmt w:val="bullet"/>
      <w:lvlText w:val=""/>
      <w:lvlJc w:val="left"/>
      <w:pPr>
        <w:tabs>
          <w:tab w:val="num" w:pos="5656"/>
        </w:tabs>
        <w:ind w:left="5656" w:hanging="283"/>
      </w:pPr>
      <w:rPr>
        <w:rFonts w:ascii="Symbol" w:hAnsi="Symbol" w:cs="Symbol" w:hint="default"/>
        <w:rFonts w:cs="Symbol"/>
      </w:rPr>
    </w:lvl>
    <w:lvl w:ilvl="8">
      <w:start w:val="1"/>
      <w:numFmt w:val="bullet"/>
      <w:lvlText w:val=""/>
      <w:lvlJc w:val="left"/>
      <w:pPr>
        <w:tabs>
          <w:tab w:val="num" w:pos="6363"/>
        </w:tabs>
        <w:ind w:left="6363" w:hanging="283"/>
      </w:pPr>
      <w:rPr>
        <w:rFonts w:ascii="Symbol" w:hAnsi="Symbol" w:cs="Symbol" w:hint="default"/>
        <w:rFonts w:cs="Symbol"/>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Cs w:val="22"/>
        <w:lang w:val="en-US"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f66ae"/>
    <w:pPr>
      <w:widowControl/>
      <w:bidi w:val="0"/>
      <w:spacing w:lineRule="auto" w:line="276" w:before="0" w:after="200"/>
      <w:jc w:val="left"/>
    </w:pPr>
    <w:rPr>
      <w:rFonts w:ascii="Calibri" w:hAnsi="Calibri" w:eastAsia="" w:cs="" w:asciiTheme="minorHAnsi" w:cstheme="minorBidi" w:eastAsiaTheme="minorEastAsia" w:hAnsiTheme="minorHAnsi"/>
      <w:color w:val="00000A"/>
      <w:kern w:val="0"/>
      <w:sz w:val="22"/>
      <w:szCs w:val="22"/>
      <w:lang w:val="en-US" w:eastAsia="en-US" w:bidi="ar-SA"/>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c41c31"/>
    <w:rPr>
      <w:rFonts w:ascii="Tahoma" w:hAnsi="Tahoma" w:cs="Tahoma"/>
      <w:sz w:val="16"/>
      <w:szCs w:val="16"/>
    </w:rPr>
  </w:style>
  <w:style w:type="character" w:styleId="BodyTextChar" w:customStyle="1">
    <w:name w:val="Body Text Char"/>
    <w:basedOn w:val="DefaultParagraphFont"/>
    <w:link w:val="BodyText"/>
    <w:qFormat/>
    <w:rsid w:val="00c41c31"/>
    <w:rPr>
      <w:rFonts w:ascii="Liberation Serif" w:hAnsi="Liberation Serif" w:eastAsia="Noto Sans CJK SC Regular" w:cs="FreeSans"/>
      <w:color w:val="00000A"/>
      <w:sz w:val="24"/>
      <w:szCs w:val="24"/>
      <w:lang w:val="en-IN" w:eastAsia="zh-CN" w:bidi="hi-IN"/>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ascii="Liberation Serif;serif" w:hAnsi="Liberation Serif;serif" w:cs="Symbol"/>
      <w:b w:val="false"/>
      <w:sz w:val="24"/>
    </w:rPr>
  </w:style>
  <w:style w:type="character" w:styleId="ListLabel5">
    <w:name w:val="ListLabel 5"/>
    <w:qFormat/>
    <w:rPr>
      <w:rFonts w:cs="Symbol"/>
    </w:rPr>
  </w:style>
  <w:style w:type="character" w:styleId="ListLabel6">
    <w:name w:val="ListLabel 6"/>
    <w:qFormat/>
    <w:rPr>
      <w:rFonts w:cs="Symbol"/>
    </w:rPr>
  </w:style>
  <w:style w:type="character" w:styleId="ListLabel7">
    <w:name w:val="ListLabel 7"/>
    <w:qFormat/>
    <w:rPr>
      <w:rFonts w:cs="Symbol"/>
    </w:rPr>
  </w:style>
  <w:style w:type="character" w:styleId="ListLabel8">
    <w:name w:val="ListLabel 8"/>
    <w:qFormat/>
    <w:rPr>
      <w:rFonts w:cs="Symbol"/>
    </w:rPr>
  </w:style>
  <w:style w:type="character" w:styleId="ListLabel9">
    <w:name w:val="ListLabel 9"/>
    <w:qFormat/>
    <w:rPr>
      <w:rFonts w:cs="Symbol"/>
    </w:rPr>
  </w:style>
  <w:style w:type="character" w:styleId="ListLabel10">
    <w:name w:val="ListLabel 10"/>
    <w:qFormat/>
    <w:rPr>
      <w:rFonts w:cs="Symbol"/>
    </w:rPr>
  </w:style>
  <w:style w:type="character" w:styleId="ListLabel11">
    <w:name w:val="ListLabel 11"/>
    <w:qFormat/>
    <w:rPr>
      <w:rFonts w:cs="Symbol"/>
    </w:rPr>
  </w:style>
  <w:style w:type="character" w:styleId="ListLabel12">
    <w:name w:val="ListLabel 12"/>
    <w:qFormat/>
    <w:rPr>
      <w:rFonts w:cs="Symbol"/>
    </w:rPr>
  </w:style>
  <w:style w:type="character" w:styleId="ListLabel13">
    <w:name w:val="ListLabel 13"/>
    <w:qFormat/>
    <w:rPr>
      <w:rFonts w:ascii="Liberation Serif;serif" w:hAnsi="Liberation Serif;serif" w:cs="Symbol"/>
      <w:b w:val="false"/>
      <w:sz w:val="24"/>
    </w:rPr>
  </w:style>
  <w:style w:type="character" w:styleId="ListLabel14">
    <w:name w:val="ListLabel 14"/>
    <w:qFormat/>
    <w:rPr>
      <w:rFonts w:cs="Symbol"/>
    </w:rPr>
  </w:style>
  <w:style w:type="character" w:styleId="ListLabel15">
    <w:name w:val="ListLabel 15"/>
    <w:qFormat/>
    <w:rPr>
      <w:rFonts w:cs="Symbol"/>
    </w:rPr>
  </w:style>
  <w:style w:type="character" w:styleId="ListLabel16">
    <w:name w:val="ListLabel 16"/>
    <w:qFormat/>
    <w:rPr>
      <w:rFonts w:cs="Symbol"/>
    </w:rPr>
  </w:style>
  <w:style w:type="character" w:styleId="ListLabel17">
    <w:name w:val="ListLabel 17"/>
    <w:qFormat/>
    <w:rPr>
      <w:rFonts w:cs="Symbol"/>
    </w:rPr>
  </w:style>
  <w:style w:type="character" w:styleId="ListLabel18">
    <w:name w:val="ListLabel 18"/>
    <w:qFormat/>
    <w:rPr>
      <w:rFonts w:cs="Symbol"/>
    </w:rPr>
  </w:style>
  <w:style w:type="character" w:styleId="ListLabel19">
    <w:name w:val="ListLabel 19"/>
    <w:qFormat/>
    <w:rPr>
      <w:rFonts w:cs="Symbol"/>
    </w:rPr>
  </w:style>
  <w:style w:type="character" w:styleId="ListLabel20">
    <w:name w:val="ListLabel 20"/>
    <w:qFormat/>
    <w:rPr>
      <w:rFonts w:cs="Symbol"/>
    </w:rPr>
  </w:style>
  <w:style w:type="character" w:styleId="ListLabel21">
    <w:name w:val="ListLabel 21"/>
    <w:qFormat/>
    <w:rPr>
      <w:rFonts w:cs="Symbol"/>
    </w:rPr>
  </w:style>
  <w:style w:type="character" w:styleId="ListLabel22">
    <w:name w:val="ListLabel 22"/>
    <w:qFormat/>
    <w:rPr>
      <w:rFonts w:ascii="Liberation Serif;serif" w:hAnsi="Liberation Serif;serif" w:cs="Symbol"/>
      <w:b w:val="false"/>
      <w:sz w:val="24"/>
    </w:rPr>
  </w:style>
  <w:style w:type="character" w:styleId="ListLabel23">
    <w:name w:val="ListLabel 23"/>
    <w:qFormat/>
    <w:rPr>
      <w:rFonts w:cs="Symbol"/>
    </w:rPr>
  </w:style>
  <w:style w:type="character" w:styleId="ListLabel24">
    <w:name w:val="ListLabel 24"/>
    <w:qFormat/>
    <w:rPr>
      <w:rFonts w:cs="Symbol"/>
    </w:rPr>
  </w:style>
  <w:style w:type="character" w:styleId="ListLabel25">
    <w:name w:val="ListLabel 25"/>
    <w:qFormat/>
    <w:rPr>
      <w:rFonts w:cs="Symbol"/>
    </w:rPr>
  </w:style>
  <w:style w:type="character" w:styleId="ListLabel26">
    <w:name w:val="ListLabel 26"/>
    <w:qFormat/>
    <w:rPr>
      <w:rFonts w:cs="Symbol"/>
    </w:rPr>
  </w:style>
  <w:style w:type="character" w:styleId="ListLabel27">
    <w:name w:val="ListLabel 27"/>
    <w:qFormat/>
    <w:rPr>
      <w:rFonts w:cs="Symbol"/>
    </w:rPr>
  </w:style>
  <w:style w:type="character" w:styleId="ListLabel28">
    <w:name w:val="ListLabel 28"/>
    <w:qFormat/>
    <w:rPr>
      <w:rFonts w:cs="Symbol"/>
    </w:rPr>
  </w:style>
  <w:style w:type="character" w:styleId="ListLabel29">
    <w:name w:val="ListLabel 29"/>
    <w:qFormat/>
    <w:rPr>
      <w:rFonts w:cs="Symbol"/>
    </w:rPr>
  </w:style>
  <w:style w:type="character" w:styleId="ListLabel30">
    <w:name w:val="ListLabel 30"/>
    <w:qFormat/>
    <w:rPr>
      <w:rFonts w:cs="Symbol"/>
    </w:rPr>
  </w:style>
  <w:style w:type="paragraph" w:styleId="Heading">
    <w:name w:val="Heading"/>
    <w:basedOn w:val="Normal"/>
    <w:next w:val="TextBody"/>
    <w:qFormat/>
    <w:pPr>
      <w:keepNext w:val="true"/>
      <w:spacing w:before="240" w:after="120"/>
    </w:pPr>
    <w:rPr>
      <w:rFonts w:ascii="Liberation Sans" w:hAnsi="Liberation Sans" w:eastAsia="Noto Sans CJK SC Regular" w:cs="FreeSans"/>
      <w:sz w:val="28"/>
      <w:szCs w:val="28"/>
    </w:rPr>
  </w:style>
  <w:style w:type="paragraph" w:styleId="TextBody">
    <w:name w:val="Body Text"/>
    <w:basedOn w:val="Normal"/>
    <w:link w:val="BodyTextChar"/>
    <w:rsid w:val="00c41c31"/>
    <w:pPr>
      <w:suppressAutoHyphens w:val="true"/>
      <w:overflowPunct w:val="true"/>
      <w:spacing w:lineRule="auto" w:line="288" w:before="0" w:after="140"/>
    </w:pPr>
    <w:rPr>
      <w:rFonts w:ascii="Liberation Serif" w:hAnsi="Liberation Serif" w:eastAsia="Noto Sans CJK SC Regular" w:cs="FreeSans"/>
      <w:color w:val="00000A"/>
      <w:sz w:val="24"/>
      <w:szCs w:val="24"/>
      <w:lang w:val="en-IN" w:eastAsia="zh-CN" w:bidi="hi-IN"/>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ableContents" w:customStyle="1">
    <w:name w:val="Table Contents"/>
    <w:basedOn w:val="Normal"/>
    <w:qFormat/>
    <w:rsid w:val="00c41c31"/>
    <w:pPr>
      <w:suppressLineNumbers/>
      <w:suppressAutoHyphens w:val="true"/>
      <w:overflowPunct w:val="true"/>
      <w:spacing w:lineRule="auto" w:line="240" w:before="0" w:after="0"/>
    </w:pPr>
    <w:rPr>
      <w:rFonts w:ascii="Liberation Serif" w:hAnsi="Liberation Serif" w:eastAsia="Noto Sans CJK SC Regular" w:cs="FreeSans"/>
      <w:color w:val="00000A"/>
      <w:sz w:val="24"/>
      <w:szCs w:val="24"/>
      <w:lang w:val="en-IN" w:eastAsia="zh-CN" w:bidi="hi-IN"/>
    </w:rPr>
  </w:style>
  <w:style w:type="paragraph" w:styleId="BalloonText">
    <w:name w:val="Balloon Text"/>
    <w:basedOn w:val="Normal"/>
    <w:link w:val="BalloonTextChar"/>
    <w:uiPriority w:val="99"/>
    <w:semiHidden/>
    <w:unhideWhenUsed/>
    <w:qFormat/>
    <w:rsid w:val="00c41c31"/>
    <w:pPr>
      <w:spacing w:lineRule="auto" w:line="240" w:before="0" w:after="0"/>
    </w:pPr>
    <w:rPr>
      <w:rFonts w:ascii="Tahoma" w:hAnsi="Tahoma" w:cs="Tahoma"/>
      <w:sz w:val="16"/>
      <w:szCs w:val="16"/>
    </w:rPr>
  </w:style>
  <w:style w:type="paragraph" w:styleId="ListParagraph">
    <w:name w:val="List Paragraph"/>
    <w:basedOn w:val="Normal"/>
    <w:uiPriority w:val="34"/>
    <w:qFormat/>
    <w:rsid w:val="00e63e84"/>
    <w:pPr>
      <w:spacing w:before="0" w:after="200"/>
      <w:ind w:left="720" w:hanging="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Application>LibreOffice/6.0.7.3$Linux_X86_64 LibreOffice_project/00m0$Build-3</Application>
  <Pages>3</Pages>
  <Words>765</Words>
  <Characters>4219</Characters>
  <CharactersWithSpaces>5187</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2019-05-03T14:31:00Z</dcterms:created>
  <dc:creator>Administrator</dc:creator>
  <dc:description/>
  <dc:language>en-IN</dc:language>
  <cp:lastModifiedBy/>
  <cp:lastPrinted>2018-12-27T08:11:00Z</cp:lastPrinted>
  <dcterms:modified xsi:type="dcterms:W3CDTF">2019-05-07T18:43:33Z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